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98F" w:rsidRPr="006B5917" w:rsidRDefault="0000198F" w:rsidP="006B59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b/>
          <w:bCs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b/>
          <w:bCs/>
          <w:sz w:val="24"/>
          <w:szCs w:val="24"/>
          <w:lang w:eastAsia="pt-BR"/>
        </w:rPr>
        <w:t>O que é a LGPD?</w:t>
      </w:r>
    </w:p>
    <w:p w:rsidR="006B5917" w:rsidRPr="006B5917" w:rsidRDefault="006B5917" w:rsidP="006B591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b/>
          <w:bCs/>
          <w:color w:val="336633"/>
          <w:sz w:val="24"/>
          <w:szCs w:val="24"/>
          <w:lang w:eastAsia="pt-BR"/>
        </w:rPr>
      </w:pP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A Lei n. 13.709, de 14 de agosto de 2018, denominada Lei Geral de Proteção de Dados Pessoais - LGPD, dispõe sobre 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tratamento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de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dados pessoais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, inclusive nos meios digitais, por pessoa natural ou por pessoa jurídica de direito público ou privado, com o objetivo de proteger os direitos fundamentais de liberdade e de privacidade e o livre desenvolvimento da personalidade da pessoa natural.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Estão expressamente estabelecidos na LGPD os seguintes fundamentos: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I - </w:t>
      </w:r>
      <w:proofErr w:type="gramStart"/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o</w:t>
      </w:r>
      <w:proofErr w:type="gramEnd"/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 xml:space="preserve"> respeito à privacidade;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II - </w:t>
      </w:r>
      <w:proofErr w:type="gramStart"/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a</w:t>
      </w:r>
      <w:proofErr w:type="gramEnd"/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 xml:space="preserve"> autodeterminação informativa;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III - a liberdade de expressão, de informação, de comunicação e de opinião;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IV - </w:t>
      </w:r>
      <w:proofErr w:type="gramStart"/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a</w:t>
      </w:r>
      <w:proofErr w:type="gramEnd"/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 xml:space="preserve"> inviolabilidade da intimidade, da honra e da imagem;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V - </w:t>
      </w:r>
      <w:proofErr w:type="gramStart"/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o</w:t>
      </w:r>
      <w:proofErr w:type="gramEnd"/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 xml:space="preserve"> desenvolvimento econômico e tecnológico e a inovação;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VI - </w:t>
      </w:r>
      <w:proofErr w:type="gramStart"/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a</w:t>
      </w:r>
      <w:proofErr w:type="gramEnd"/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 xml:space="preserve"> livre iniciativa, a livre concorrência e a defesa do consumidor; e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VII - os direitos humanos, o livre desenvolvimento da personalidade, a dignidade e o exercício da cidadania pelas pessoas naturais.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A LGPD está dividida em 10 capítulos e 65 artigos.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capítulo I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é dedicado às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disposições gerais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, em que são encontrados os princípios que fundamentam a proteção de dados pessoais (art. 2º), o âmbito de aplicação territorial da lei (art. 3º) e conceitos básicos (art. 5º).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Entre os conceitos apresentados pela LGPD, destaca-se o de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dados pessoais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, que são informações relacionadas à pessoa natural identificada ou identificável (art. 5º, I).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Assim, a LGPD protege não só a informação que identifica uma pessoa natural, como também aquela que, cruzada com outras, permite a identificação da pessoa natural.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Há, ainda, os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dados pessoais sensíveis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 xml:space="preserve">, que são dados pessoais "sobre origem racial ou étnica, convicção religiosa, opinião política, filiação a sindicato ou a organização de caráter religioso, filosófico ou 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lastRenderedPageBreak/>
        <w:t>político, dado referente à saúde ou à vida sexual, dado genético ou biométrico, quando vinculado a uma pessoa natural" (art. 5º, I).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Titular dos dados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, por sua vez, é pessoa natural a quem se referem os dados pessoais que são objeto de tratamento (art. 5º, V).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Já 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tratamento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é qualquer ação que se faça com os dados pessoais ou dados pessoais sensíveis. A LGPD aponta como tratamento "toda operação realizada com dados pessoais,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extração" (art. 5º, X).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No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capítulo II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são apresentados os requisitos para o tratamento de dados pessoais, dados pessoais sensíveis, dados pessoais de criança e de adolescente, e as hipóteses de término do tratamento de dados.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Os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direitos dos titulares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são apresentados no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capítulo III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, com a descrição dos prazos e formas para o atendimento das requisições dos titulares.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capítulo IV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é dedicado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ao tratamento de dados pessoais pelo Poder Público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e a sua responsabilização em caso de infração à LGPD.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capítulo V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trata da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transferência internacional de dados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, e 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capítulo VI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se ocupa dos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agentes de tratamento de dados pessoais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, da responsabilidade dos agentes e do ressarcimento de danos.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Os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agentes de tratamento de dados pessoais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são três: 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controlador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, 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operador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e 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encarregado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pelo tratamento de dados pessoais.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Conforme os conceitos apresentados pela própria LGPD, 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controlador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é a "pessoa natural ou jurídica, de direito público ou privado, a quem competem as decisões referentes ao tratamento de dados pessoais" (art. 5º, VI), enquanto 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operador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é a "pessoa natural ou jurídica, de direito público ou privado, que realiza o tratamento de dados pessoais em nome do controlador" (art. 5º, VII).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encarregado 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pelo tratamento de dados pessoais, por seu turno, é a "pessoa indicada pelo controlador e operador para atuar como canal de comunicação entre o controlador, os titulares dos dados e a Autoridade Nacional de Proteção de Dados (ANPD)".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lastRenderedPageBreak/>
        <w:t>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capítulo VII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cuida da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segurança e das boas práticas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a serem adotadas no tratamento de dados pessoais, enquanto 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capítulo VIII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trata da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fiscalização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da proteção de dados pessoais, com destaque para o rol de sanções administrativas que podem ser aplicadas pela ANPD.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A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Autoridade Nacional de Proteção de Dados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(ANPD), órgão da administração pública federal, integrante da Presidência da República, e 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Conselho Nacional de Proteção de Dados Pessoais e da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Privacidade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são especificados no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capítulo IX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.</w:t>
      </w:r>
    </w:p>
    <w:p w:rsidR="0000198F" w:rsidRPr="006B5917" w:rsidRDefault="0000198F" w:rsidP="006B5917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Segoe UI"/>
          <w:color w:val="333333"/>
          <w:sz w:val="24"/>
          <w:szCs w:val="24"/>
          <w:lang w:eastAsia="pt-BR"/>
        </w:rPr>
      </w:pP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Por fim, o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capítulo X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 é dedicado às </w:t>
      </w:r>
      <w:r w:rsidRPr="006B5917">
        <w:rPr>
          <w:rFonts w:ascii="Verdana" w:eastAsia="Times New Roman" w:hAnsi="Verdana" w:cs="Segoe UI"/>
          <w:b/>
          <w:bCs/>
          <w:color w:val="333333"/>
          <w:sz w:val="24"/>
          <w:szCs w:val="24"/>
          <w:lang w:eastAsia="pt-BR"/>
        </w:rPr>
        <w:t>disposições finais e transitórias</w:t>
      </w:r>
      <w:r w:rsidRPr="006B5917">
        <w:rPr>
          <w:rFonts w:ascii="Verdana" w:eastAsia="Times New Roman" w:hAnsi="Verdana" w:cs="Segoe UI"/>
          <w:color w:val="333333"/>
          <w:sz w:val="24"/>
          <w:szCs w:val="24"/>
          <w:lang w:eastAsia="pt-BR"/>
        </w:rPr>
        <w:t>.</w:t>
      </w:r>
    </w:p>
    <w:p w:rsidR="002D7652" w:rsidRPr="006B5917" w:rsidRDefault="0000198F" w:rsidP="006B5917">
      <w:pPr>
        <w:jc w:val="both"/>
        <w:rPr>
          <w:rFonts w:ascii="Verdana" w:hAnsi="Verdana"/>
          <w:sz w:val="24"/>
          <w:szCs w:val="24"/>
        </w:rPr>
      </w:pPr>
      <w:r w:rsidRPr="006B5917">
        <w:rPr>
          <w:rFonts w:ascii="Verdana" w:hAnsi="Verdana" w:cs="Segoe UI"/>
          <w:color w:val="333333"/>
          <w:sz w:val="24"/>
          <w:szCs w:val="24"/>
          <w:shd w:val="clear" w:color="auto" w:fill="FFFFFF"/>
        </w:rPr>
        <w:t xml:space="preserve">Confira o texto completo da Lei Geral de Proteção de Dados Pessoas - LGPD </w:t>
      </w:r>
      <w:hyperlink r:id="rId4" w:history="1">
        <w:r w:rsidRPr="006B5917">
          <w:rPr>
            <w:rStyle w:val="Hyperlink"/>
            <w:rFonts w:ascii="Verdana" w:hAnsi="Verdana" w:cs="Segoe UI"/>
            <w:sz w:val="24"/>
            <w:szCs w:val="24"/>
            <w:shd w:val="clear" w:color="auto" w:fill="FFFFFF"/>
          </w:rPr>
          <w:t>http://legislacao.planalto.gov.br/legisla/legislacao.nsf/Viw_Identificacao/lei%2013.709-2018?OpenDocument</w:t>
        </w:r>
      </w:hyperlink>
      <w:r w:rsidRPr="006B5917">
        <w:rPr>
          <w:rFonts w:ascii="Verdana" w:hAnsi="Verdana" w:cs="Segoe UI"/>
          <w:color w:val="333333"/>
          <w:sz w:val="24"/>
          <w:szCs w:val="24"/>
          <w:shd w:val="clear" w:color="auto" w:fill="FFFFFF"/>
        </w:rPr>
        <w:t xml:space="preserve"> </w:t>
      </w:r>
      <w:r w:rsidRPr="006B5917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sectPr w:rsidR="002D7652" w:rsidRPr="006B5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82"/>
    <w:rsid w:val="0000198F"/>
    <w:rsid w:val="002D7652"/>
    <w:rsid w:val="006B5917"/>
    <w:rsid w:val="00D3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02EF"/>
  <w15:chartTrackingRefBased/>
  <w15:docId w15:val="{90512C91-C3FD-4551-B9F4-CB03BC18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1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cao.planalto.gov.br/legisla/legislacao.nsf/Viw_Identificacao/lei%2013.709-2018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3</cp:revision>
  <dcterms:created xsi:type="dcterms:W3CDTF">2022-08-08T12:37:00Z</dcterms:created>
  <dcterms:modified xsi:type="dcterms:W3CDTF">2022-10-26T13:36:00Z</dcterms:modified>
</cp:coreProperties>
</file>